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F6B5A" w14:textId="77777777" w:rsidR="00B52FCC" w:rsidRDefault="00FE475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4E161C96" w14:textId="77777777" w:rsidR="00B52FCC" w:rsidRDefault="00FE475A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Layout w:type="fixed"/>
        <w:tblLook w:val="04A0" w:firstRow="1" w:lastRow="0" w:firstColumn="1" w:lastColumn="0" w:noHBand="0" w:noVBand="1"/>
      </w:tblPr>
      <w:tblGrid>
        <w:gridCol w:w="2972"/>
        <w:gridCol w:w="778"/>
        <w:gridCol w:w="442"/>
        <w:gridCol w:w="2750"/>
        <w:gridCol w:w="1746"/>
        <w:gridCol w:w="1004"/>
      </w:tblGrid>
      <w:tr w:rsidR="00B52FCC" w14:paraId="3ADC7526" w14:textId="77777777" w:rsidTr="005A2CFA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537C83" w14:textId="77777777" w:rsidR="00B52FCC" w:rsidRDefault="00FE475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52FCC" w14:paraId="0C4EDB79" w14:textId="77777777" w:rsidTr="005A2CFA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6F830" w14:textId="77777777" w:rsidR="00B52FCC" w:rsidRDefault="00FE475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2AEB" w14:textId="77777777" w:rsidR="00B52FCC" w:rsidRDefault="00FE475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Jednolite studia magisterskie</w:t>
            </w:r>
          </w:p>
          <w:p w14:paraId="69375F45" w14:textId="77777777" w:rsidR="00B52FCC" w:rsidRDefault="00FE475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Stacjonarne/Niestacjonarne</w:t>
            </w:r>
          </w:p>
        </w:tc>
      </w:tr>
      <w:tr w:rsidR="00B52FCC" w14:paraId="05E16A32" w14:textId="77777777" w:rsidTr="005A2CFA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58AB" w14:textId="77777777" w:rsidR="00B52FCC" w:rsidRDefault="00FE475A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 Rok:</w:t>
            </w:r>
            <w:r>
              <w:rPr>
                <w:color w:val="000000" w:themeColor="text1"/>
              </w:rPr>
              <w:t xml:space="preserve"> IV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7C4D" w14:textId="77777777" w:rsidR="00B52FCC" w:rsidRDefault="00FE475A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5. Semestr:  </w:t>
            </w:r>
            <w:r>
              <w:rPr>
                <w:color w:val="000000" w:themeColor="text1"/>
              </w:rPr>
              <w:t>Zgodnie z harmonogramem</w:t>
            </w:r>
          </w:p>
        </w:tc>
      </w:tr>
      <w:tr w:rsidR="00B52FCC" w14:paraId="10F0E164" w14:textId="77777777" w:rsidTr="005A2CFA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B9EF" w14:textId="77777777" w:rsidR="00B52FCC" w:rsidRDefault="00FE475A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6. Nazwa przedmiotu:</w:t>
            </w:r>
            <w:r>
              <w:rPr>
                <w:color w:val="000000" w:themeColor="text1"/>
              </w:rPr>
              <w:t xml:space="preserve">  </w:t>
            </w:r>
            <w:r>
              <w:rPr>
                <w:b/>
                <w:bCs/>
              </w:rPr>
              <w:t xml:space="preserve">neurologia i neurochirurgia </w:t>
            </w:r>
          </w:p>
        </w:tc>
      </w:tr>
      <w:tr w:rsidR="00B52FCC" w14:paraId="123E2ED7" w14:textId="77777777" w:rsidTr="005A2CFA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6B76" w14:textId="77777777" w:rsidR="00B52FCC" w:rsidRDefault="00FE475A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7. Status przedmiotu:</w:t>
            </w:r>
            <w:r>
              <w:rPr>
                <w:color w:val="000000" w:themeColor="text1"/>
              </w:rPr>
              <w:t xml:space="preserve">  Obowiązkowy</w:t>
            </w:r>
          </w:p>
        </w:tc>
      </w:tr>
      <w:tr w:rsidR="00B52FCC" w14:paraId="31ABA7FA" w14:textId="77777777" w:rsidTr="005A2CFA">
        <w:trPr>
          <w:trHeight w:val="181"/>
        </w:trPr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979E95" w14:textId="77777777" w:rsidR="00B52FCC" w:rsidRDefault="00FE475A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 Cel/-e przedmiotu</w:t>
            </w:r>
          </w:p>
        </w:tc>
      </w:tr>
      <w:tr w:rsidR="00B52FCC" w14:paraId="4FEDB715" w14:textId="77777777" w:rsidTr="005A2CFA">
        <w:trPr>
          <w:trHeight w:val="725"/>
        </w:trPr>
        <w:tc>
          <w:tcPr>
            <w:tcW w:w="96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E063" w14:textId="30E58A71" w:rsidR="00B52FCC" w:rsidRDefault="00FE475A" w:rsidP="00FE475A">
            <w:pPr>
              <w:spacing w:after="0" w:line="24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Studentowi, który ukończy kurs z przedmiotu neurologia z neurochirurgią zostanie przekazana wiedza obejmująca: </w:t>
            </w:r>
            <w:r>
              <w:rPr>
                <w:color w:val="000000"/>
                <w:sz w:val="20"/>
              </w:rPr>
              <w:br/>
              <w:t xml:space="preserve">- na zajęciach z neurologii: przyczyny, objawy, zasady diagnostyki i terapii w najczęstszych chorobach układu nerwowego; przedstawione zostaną podstawowe zespoły neurologiczne; omówione będą interpretacja wyników badań, wskazania, technika wykonania i interpretacja wyników punkcji lędźwiowej; choroby neurologiczne u osób starszych - podstawowe odrębności oraz zasady postępowania, farmakoterapii i opieki; udary mózgu - rodzaje, czynniki ryzyka, diagnostyka, leczenie; padaczka i inne zaburzenia świadomości; stan po spożyciu alkoholu, narkotyków i innych używek; choroby rozrostowe układu nerwowego; choroby demielinizacyjne; kwalifikacja do leczenia domowego i szpitalnego; stany naglące w praktyce neurologicznej; ocena funkcjonalna pacjenta z niepełnosprawnością; badanie przedmiotowe i podmiotowe w chorobach wymagających interwencji neurochirurgicznej; interpretacja wyników badań obrazowych; </w:t>
            </w:r>
          </w:p>
          <w:p w14:paraId="43480324" w14:textId="01107DE9" w:rsidR="00B52FCC" w:rsidRDefault="00FE475A" w:rsidP="00FE475A">
            <w:pPr>
              <w:spacing w:after="0" w:line="24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 na zajęciach z neurochirurgii: wskazania i przeciwskazania do leczenia neurochirurgicznego; zasady bezpieczeństwa okołooperacyjnego; neuroonkologia; choroby naczyniowe OUN; neurotraumatologia; neurochirurgia czynnościowa; choroby urazowe i nieurazowe kręgosłupa i nerwów obwodowych; postępowanie w stanach nagłych w neurochirurgii i neurotraumatologii; neurorehabilitacja; </w:t>
            </w:r>
          </w:p>
          <w:p w14:paraId="3CAD595D" w14:textId="77777777" w:rsidR="00B52FCC" w:rsidRDefault="00FE475A" w:rsidP="00FE475A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- ponadto: podstawowe zasady pracy  w zespole oraz przestrzeganie wzorców etycznych i praw pacjenta</w:t>
            </w:r>
          </w:p>
          <w:p w14:paraId="614A2418" w14:textId="77777777" w:rsidR="00B52FCC" w:rsidRDefault="00FE475A" w:rsidP="00FE475A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Efekty uczenia się/odniesienie do efektów uczenia się</w:t>
            </w:r>
            <w:r>
              <w:rPr>
                <w:sz w:val="20"/>
              </w:rPr>
              <w:t xml:space="preserve"> zawartych w (właściwe podkreślić):</w:t>
            </w:r>
          </w:p>
          <w:p w14:paraId="7457885A" w14:textId="77777777" w:rsidR="00B52FCC" w:rsidRDefault="00FE475A" w:rsidP="00FE475A">
            <w:pPr>
              <w:shd w:val="clear" w:color="auto" w:fill="FFFFFF" w:themeFill="background1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standardach kształcenia (Rozporządzenie Ministra Nauki i Szkolnictwa Wyższego)/</w:t>
            </w:r>
            <w:r>
              <w:rPr>
                <w:sz w:val="20"/>
              </w:rPr>
              <w:t>Uchwale Senatu SUM                     (podać określenia zawarte w standardach kształcenia/symbole efektów zatwierdzone Uchwałą Senatu SUM)</w:t>
            </w:r>
          </w:p>
          <w:p w14:paraId="5D16EA84" w14:textId="77777777" w:rsidR="00B52FCC" w:rsidRDefault="00FE475A" w:rsidP="00FE475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b/>
                <w:bCs/>
                <w:sz w:val="20"/>
              </w:rPr>
              <w:t>- w zakresie wiedzy student zna i rozumie:</w:t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 w:rsidR="008C0393">
              <w:rPr>
                <w:rFonts w:ascii="Times New Roman" w:hAnsi="Times New Roman"/>
                <w:sz w:val="20"/>
              </w:rPr>
              <w:t>E.W9, E.W.10, E.W11, E.W12, E.W13, E.W15, E.W16, E.W28, F.W4, F.W6, F.W20, F.W22, F.W23</w:t>
            </w:r>
          </w:p>
          <w:p w14:paraId="532FB3AD" w14:textId="77777777" w:rsidR="00B52FCC" w:rsidRDefault="00FE475A" w:rsidP="00FE475A">
            <w:pPr>
              <w:shd w:val="clear" w:color="auto" w:fill="FFFFFF" w:themeFill="background1"/>
              <w:snapToGrid w:val="0"/>
              <w:spacing w:after="0" w:line="240" w:lineRule="auto"/>
              <w:jc w:val="both"/>
              <w:rPr>
                <w:rFonts w:eastAsia="Times New Roman" w:cs="Calibri"/>
                <w:sz w:val="20"/>
                <w:shd w:val="clear" w:color="auto" w:fill="FFFFFF"/>
              </w:rPr>
            </w:pPr>
            <w:r>
              <w:rPr>
                <w:rFonts w:cs="Calibri"/>
                <w:b/>
                <w:bCs/>
                <w:sz w:val="20"/>
              </w:rPr>
              <w:t>- w zakresie umiejętności student potrafi</w:t>
            </w:r>
            <w:r>
              <w:rPr>
                <w:rFonts w:cs="Calibri"/>
                <w:b/>
                <w:bCs/>
                <w:sz w:val="20"/>
                <w:shd w:val="clear" w:color="auto" w:fill="FFFFFF"/>
              </w:rPr>
              <w:t>:</w:t>
            </w:r>
            <w:r>
              <w:rPr>
                <w:rFonts w:cs="Calibri"/>
                <w:sz w:val="20"/>
                <w:shd w:val="clear" w:color="auto" w:fill="FFFFFF"/>
              </w:rPr>
              <w:t xml:space="preserve"> </w:t>
            </w:r>
            <w:r w:rsidR="008C0393">
              <w:rPr>
                <w:rFonts w:eastAsia="Times New Roman" w:cs="Calibri"/>
                <w:sz w:val="20"/>
                <w:shd w:val="clear" w:color="auto" w:fill="FFFFFF"/>
              </w:rPr>
              <w:t>E.U1, E.U2, E.U5, E.U11, E.U12, E.U21, E.U23, E.U26, E.U28,</w:t>
            </w:r>
            <w:r w:rsidR="00E42B8E">
              <w:rPr>
                <w:rFonts w:eastAsia="Times New Roman" w:cs="Calibri"/>
                <w:sz w:val="20"/>
                <w:shd w:val="clear" w:color="auto" w:fill="FFFFFF"/>
              </w:rPr>
              <w:t xml:space="preserve"> F.U1, F.U2</w:t>
            </w:r>
          </w:p>
          <w:p w14:paraId="680CD900" w14:textId="77777777" w:rsidR="00B52FCC" w:rsidRDefault="00FE475A" w:rsidP="00FE475A">
            <w:pPr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cs="Calibri"/>
                <w:b/>
                <w:bCs/>
                <w:sz w:val="20"/>
              </w:rPr>
              <w:t>- w zakresie kompetencji społecznych student jest gotów do:</w:t>
            </w:r>
            <w:r>
              <w:rPr>
                <w:rFonts w:cs="Calibri"/>
                <w:sz w:val="20"/>
              </w:rPr>
              <w:t xml:space="preserve"> </w:t>
            </w:r>
            <w:r w:rsidR="008C0393">
              <w:rPr>
                <w:rFonts w:cs="Calibri"/>
                <w:sz w:val="20"/>
              </w:rPr>
              <w:t>D.W2</w:t>
            </w:r>
            <w:r w:rsidR="00B5170D">
              <w:rPr>
                <w:rFonts w:cs="Calibri"/>
                <w:sz w:val="20"/>
              </w:rPr>
              <w:t>, D.W3, D.W11, D.W17, D.W18, D.U1, D.U2, D.U3, D.U10, D.U11</w:t>
            </w:r>
          </w:p>
        </w:tc>
      </w:tr>
      <w:tr w:rsidR="00B52FCC" w14:paraId="6025DFA5" w14:textId="77777777" w:rsidTr="005A2CF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718D" w14:textId="77777777" w:rsidR="00B52FCC" w:rsidRDefault="00FE47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320EA8" w14:textId="77777777" w:rsidR="00B52FCC" w:rsidRDefault="00FE47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4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9142E" w14:textId="77777777" w:rsidR="00B52FCC" w:rsidRDefault="00FE47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A37F7AF" w14:textId="77777777" w:rsidR="00B52FCC" w:rsidRDefault="00FE475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B52FCC" w14:paraId="634102F3" w14:textId="77777777" w:rsidTr="005A2CFA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AC70" w14:textId="77777777" w:rsidR="00B52FCC" w:rsidRDefault="00FE47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>
              <w:t>egzamin</w:t>
            </w:r>
          </w:p>
        </w:tc>
      </w:tr>
      <w:tr w:rsidR="00B52FCC" w14:paraId="3BFFF81B" w14:textId="77777777" w:rsidTr="005A2CFA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1B224E" w14:textId="77777777" w:rsidR="00B52FCC" w:rsidRDefault="00FE475A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12. Sposoby weryfikacji i oceny efektów uczenia się </w:t>
            </w:r>
          </w:p>
        </w:tc>
      </w:tr>
      <w:tr w:rsidR="00B52FCC" w14:paraId="484B7A97" w14:textId="77777777" w:rsidTr="005A2CF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E019E" w14:textId="77777777" w:rsidR="00B52FCC" w:rsidRDefault="00FE475A">
            <w:pPr>
              <w:pStyle w:val="Akapitzlist"/>
              <w:spacing w:after="0" w:line="24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Efekty uczenia się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0F420" w14:textId="540EEFF9" w:rsidR="00B52FCC" w:rsidRDefault="00FE475A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Sposoby weryfikacji </w:t>
            </w:r>
            <w:r w:rsidR="00A47994">
              <w:rPr>
                <w:sz w:val="20"/>
              </w:rPr>
              <w:t>*</w:t>
            </w:r>
            <w:r>
              <w:rPr>
                <w:sz w:val="20"/>
              </w:rPr>
              <w:t>*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22E6B" w14:textId="77777777" w:rsidR="00B52FCC" w:rsidRDefault="00FE475A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Sposoby oceny */zaliczenie</w:t>
            </w:r>
          </w:p>
        </w:tc>
      </w:tr>
      <w:tr w:rsidR="00B52FCC" w14:paraId="29AB02F3" w14:textId="77777777" w:rsidTr="005A2CF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C3C8" w14:textId="77777777" w:rsidR="00B52FCC" w:rsidRDefault="00FE475A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W zakresie wiedzy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589BA" w14:textId="77777777" w:rsidR="00B52FCC" w:rsidRDefault="00FE475A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Sprawdzian ustny/pisemny – pytania testowe/otwarte, Egzamin pisemny/testowy/ustny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175A6" w14:textId="77777777" w:rsidR="00B52FCC" w:rsidRDefault="00FE475A">
            <w:pPr>
              <w:spacing w:after="0" w:line="240" w:lineRule="auto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*</w:t>
            </w:r>
          </w:p>
        </w:tc>
      </w:tr>
      <w:tr w:rsidR="00B52FCC" w14:paraId="0DD48429" w14:textId="77777777" w:rsidTr="005A2CF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ED1C" w14:textId="77777777" w:rsidR="00B52FCC" w:rsidRDefault="00FE475A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W zakresie umiejętności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13ED" w14:textId="77777777" w:rsidR="00B52FCC" w:rsidRDefault="00FE475A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Obserwacja ciągła / Ocena aktywności na zajęciach, Egzamin praktyczny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65340" w14:textId="77777777" w:rsidR="00B52FCC" w:rsidRDefault="00FE475A">
            <w:pPr>
              <w:spacing w:after="0" w:line="240" w:lineRule="auto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*</w:t>
            </w:r>
          </w:p>
        </w:tc>
      </w:tr>
      <w:tr w:rsidR="00B52FCC" w14:paraId="4755F279" w14:textId="77777777" w:rsidTr="005A2CFA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EDE6E" w14:textId="77777777" w:rsidR="00B52FCC" w:rsidRDefault="00FE475A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W zakresie kompetencji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EB03" w14:textId="77777777" w:rsidR="00B52FCC" w:rsidRDefault="00FE475A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Obserwacja ciągła / Ocena aktywności na zajęciach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D61D" w14:textId="77777777" w:rsidR="00B52FCC" w:rsidRDefault="00FE475A">
            <w:pPr>
              <w:spacing w:after="0" w:line="240" w:lineRule="auto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*</w:t>
            </w:r>
          </w:p>
        </w:tc>
      </w:tr>
    </w:tbl>
    <w:p w14:paraId="4743E0ED" w14:textId="6518BC6C" w:rsidR="00B52FCC" w:rsidRDefault="00FE475A">
      <w:pPr>
        <w:jc w:val="both"/>
        <w:rPr>
          <w:sz w:val="18"/>
        </w:rPr>
      </w:pPr>
      <w:r>
        <w:rPr>
          <w:b/>
          <w:szCs w:val="28"/>
        </w:rPr>
        <w:t>*</w:t>
      </w:r>
      <w:r>
        <w:rPr>
          <w:sz w:val="18"/>
        </w:rPr>
        <w:t xml:space="preserve"> w przypadku egzaminu/zaliczenia na ocenę zakłada się, że ocena oznacza na poziomie:</w:t>
      </w:r>
    </w:p>
    <w:p w14:paraId="1218BD31" w14:textId="77777777" w:rsidR="00B52FCC" w:rsidRDefault="00FE475A">
      <w:pPr>
        <w:spacing w:after="0" w:line="260" w:lineRule="atLeast"/>
        <w:jc w:val="both"/>
        <w:rPr>
          <w:rFonts w:cs="Calibri"/>
          <w:color w:val="000000"/>
          <w:sz w:val="18"/>
          <w:szCs w:val="20"/>
        </w:rPr>
      </w:pPr>
      <w:r>
        <w:rPr>
          <w:rFonts w:cs="Calibri"/>
          <w:b/>
          <w:color w:val="000000"/>
          <w:sz w:val="18"/>
          <w:szCs w:val="20"/>
        </w:rPr>
        <w:t>Bardzo dobry (5,0)</w:t>
      </w:r>
      <w:r>
        <w:rPr>
          <w:rFonts w:cs="Calibri"/>
          <w:color w:val="000000"/>
          <w:sz w:val="18"/>
          <w:szCs w:val="20"/>
        </w:rPr>
        <w:t xml:space="preserve"> - zakładane efekty uczenia się zostały osiągnięte i w znacznym stopniu przekraczają wymagany poziom</w:t>
      </w:r>
    </w:p>
    <w:p w14:paraId="5A1EB327" w14:textId="77777777" w:rsidR="00B52FCC" w:rsidRDefault="00FE475A">
      <w:pPr>
        <w:spacing w:after="0" w:line="260" w:lineRule="atLeast"/>
        <w:jc w:val="both"/>
        <w:rPr>
          <w:rFonts w:cs="Calibri"/>
          <w:color w:val="000000"/>
          <w:sz w:val="18"/>
          <w:szCs w:val="20"/>
        </w:rPr>
      </w:pPr>
      <w:r>
        <w:rPr>
          <w:rFonts w:cs="Calibri"/>
          <w:b/>
          <w:color w:val="000000"/>
          <w:sz w:val="18"/>
          <w:szCs w:val="20"/>
        </w:rPr>
        <w:t>Ponad dobry (4,5)</w:t>
      </w:r>
      <w:r>
        <w:rPr>
          <w:rFonts w:cs="Calibri"/>
          <w:color w:val="000000"/>
          <w:sz w:val="18"/>
          <w:szCs w:val="20"/>
        </w:rPr>
        <w:t xml:space="preserve"> - zakładane efekty uczenia się zostały osiągnięte i w niewielkim stopniu przekraczają wymagany poziom</w:t>
      </w:r>
    </w:p>
    <w:p w14:paraId="66CBBB67" w14:textId="77777777" w:rsidR="00B52FCC" w:rsidRDefault="00FE475A">
      <w:pPr>
        <w:spacing w:after="0" w:line="260" w:lineRule="atLeast"/>
        <w:jc w:val="both"/>
        <w:rPr>
          <w:rFonts w:cs="Calibri"/>
          <w:color w:val="000000"/>
          <w:sz w:val="18"/>
          <w:szCs w:val="20"/>
        </w:rPr>
      </w:pPr>
      <w:r>
        <w:rPr>
          <w:rFonts w:cs="Calibri"/>
          <w:b/>
          <w:color w:val="000000"/>
          <w:sz w:val="18"/>
          <w:szCs w:val="20"/>
        </w:rPr>
        <w:t>Dobry (4,0)</w:t>
      </w:r>
      <w:r>
        <w:rPr>
          <w:rFonts w:cs="Calibri"/>
          <w:color w:val="000000"/>
          <w:sz w:val="18"/>
          <w:szCs w:val="20"/>
        </w:rPr>
        <w:t xml:space="preserve"> – zakładane efekty uczenia się zostały osiągnięte na wymaganym poziomie</w:t>
      </w:r>
    </w:p>
    <w:p w14:paraId="30E14F43" w14:textId="77777777" w:rsidR="00B52FCC" w:rsidRDefault="00FE475A">
      <w:pPr>
        <w:spacing w:after="0" w:line="260" w:lineRule="atLeast"/>
        <w:jc w:val="both"/>
        <w:rPr>
          <w:rFonts w:cs="Calibri"/>
          <w:color w:val="000000"/>
          <w:sz w:val="18"/>
          <w:szCs w:val="20"/>
        </w:rPr>
      </w:pPr>
      <w:r>
        <w:rPr>
          <w:rFonts w:cs="Calibri"/>
          <w:b/>
          <w:color w:val="000000"/>
          <w:sz w:val="18"/>
          <w:szCs w:val="20"/>
        </w:rPr>
        <w:t>Dość dobry (3,5)</w:t>
      </w:r>
      <w:r>
        <w:rPr>
          <w:rFonts w:cs="Calibri"/>
          <w:color w:val="000000"/>
          <w:sz w:val="18"/>
          <w:szCs w:val="20"/>
        </w:rPr>
        <w:t xml:space="preserve"> – zakładane efekty uczenia się zostały osiągnięte na średnim wymaganym poziomie</w:t>
      </w:r>
    </w:p>
    <w:p w14:paraId="4EAA85F2" w14:textId="77777777" w:rsidR="00B52FCC" w:rsidRDefault="00FE475A">
      <w:pPr>
        <w:spacing w:after="0" w:line="260" w:lineRule="atLeast"/>
        <w:jc w:val="both"/>
        <w:rPr>
          <w:rFonts w:cs="Calibri"/>
          <w:color w:val="000000"/>
          <w:sz w:val="18"/>
          <w:szCs w:val="20"/>
        </w:rPr>
      </w:pPr>
      <w:r>
        <w:rPr>
          <w:rFonts w:cs="Calibri"/>
          <w:b/>
          <w:color w:val="000000"/>
          <w:sz w:val="18"/>
          <w:szCs w:val="20"/>
        </w:rPr>
        <w:t>Dostateczny (3,0)</w:t>
      </w:r>
      <w:r>
        <w:rPr>
          <w:rFonts w:cs="Calibri"/>
          <w:color w:val="000000"/>
          <w:sz w:val="18"/>
          <w:szCs w:val="20"/>
        </w:rPr>
        <w:t xml:space="preserve"> - zakładane efekty uczenia się zostały osiągnięte na minimalnym wymaganym poziomie</w:t>
      </w:r>
    </w:p>
    <w:p w14:paraId="7EE16F20" w14:textId="010165B6" w:rsidR="00B52FCC" w:rsidRDefault="00FE475A">
      <w:pPr>
        <w:spacing w:after="0" w:line="260" w:lineRule="atLeast"/>
        <w:jc w:val="both"/>
        <w:rPr>
          <w:rFonts w:cs="Calibri"/>
          <w:color w:val="000000"/>
          <w:sz w:val="18"/>
          <w:szCs w:val="20"/>
        </w:rPr>
      </w:pPr>
      <w:r>
        <w:rPr>
          <w:rFonts w:cs="Calibri"/>
          <w:b/>
          <w:color w:val="000000"/>
          <w:sz w:val="18"/>
          <w:szCs w:val="20"/>
        </w:rPr>
        <w:t>Niedostateczny (2,0)</w:t>
      </w:r>
      <w:r>
        <w:rPr>
          <w:rFonts w:cs="Calibri"/>
          <w:color w:val="000000"/>
          <w:sz w:val="18"/>
          <w:szCs w:val="20"/>
        </w:rPr>
        <w:t xml:space="preserve"> – zakładane efekty uczenia się nie zostały uzyskane</w:t>
      </w:r>
    </w:p>
    <w:p w14:paraId="2DA7AEDE" w14:textId="30B96847" w:rsidR="00E03370" w:rsidRDefault="00E03370">
      <w:pPr>
        <w:spacing w:after="0" w:line="260" w:lineRule="atLeast"/>
        <w:jc w:val="both"/>
        <w:rPr>
          <w:rFonts w:cs="Calibri"/>
          <w:color w:val="000000"/>
          <w:sz w:val="18"/>
          <w:szCs w:val="20"/>
        </w:rPr>
      </w:pPr>
    </w:p>
    <w:p w14:paraId="53E22F14" w14:textId="2734F074" w:rsidR="00E03370" w:rsidRDefault="00E03370">
      <w:pPr>
        <w:spacing w:after="0" w:line="260" w:lineRule="atLeast"/>
        <w:jc w:val="both"/>
        <w:rPr>
          <w:sz w:val="18"/>
          <w:szCs w:val="20"/>
        </w:rPr>
      </w:pPr>
      <w:r w:rsidRPr="00A47994">
        <w:rPr>
          <w:noProof/>
        </w:rPr>
        <w:drawing>
          <wp:inline distT="0" distB="0" distL="0" distR="0" wp14:anchorId="34F951FB" wp14:editId="43438693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337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12D42"/>
    <w:multiLevelType w:val="multilevel"/>
    <w:tmpl w:val="F5F449D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5F053F"/>
    <w:multiLevelType w:val="multilevel"/>
    <w:tmpl w:val="C12424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CC"/>
    <w:rsid w:val="00280067"/>
    <w:rsid w:val="0042112B"/>
    <w:rsid w:val="004541E9"/>
    <w:rsid w:val="005A2CFA"/>
    <w:rsid w:val="008C0393"/>
    <w:rsid w:val="00A47994"/>
    <w:rsid w:val="00B5170D"/>
    <w:rsid w:val="00B52FCC"/>
    <w:rsid w:val="00B709D6"/>
    <w:rsid w:val="00E03370"/>
    <w:rsid w:val="00E42B8E"/>
    <w:rsid w:val="00E91165"/>
    <w:rsid w:val="00FE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10EF"/>
  <w15:docId w15:val="{97A1CC9B-92DD-42C8-8308-D88E0F06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7538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qFormat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komentarza">
    <w:name w:val="annotation text"/>
    <w:basedOn w:val="Normalny"/>
    <w:link w:val="TekstkomentarzaZnak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ne0">
    <w:name w:val="Inne"/>
    <w:basedOn w:val="Normalny"/>
    <w:link w:val="Inne"/>
    <w:uiPriority w:val="99"/>
    <w:qFormat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qFormat/>
    <w:rsid w:val="00A475FC"/>
    <w:pPr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Grzanka</dc:creator>
  <dc:description/>
  <cp:lastModifiedBy>Aleksandra Pilar</cp:lastModifiedBy>
  <cp:revision>6</cp:revision>
  <cp:lastPrinted>2024-04-19T05:41:00Z</cp:lastPrinted>
  <dcterms:created xsi:type="dcterms:W3CDTF">2024-04-19T10:03:00Z</dcterms:created>
  <dcterms:modified xsi:type="dcterms:W3CDTF">2025-04-07T12:34:00Z</dcterms:modified>
  <dc:language>pl-PL</dc:language>
</cp:coreProperties>
</file>